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D57" w:rsidRDefault="00077D57"/>
    <w:p w:rsidR="00524049" w:rsidRPr="00524049" w:rsidRDefault="00B77FBF">
      <w:pPr>
        <w:rPr>
          <w:sz w:val="24"/>
        </w:rPr>
      </w:pPr>
      <w:proofErr w:type="spellStart"/>
      <w:r>
        <w:rPr>
          <w:rFonts w:hint="eastAsia"/>
          <w:sz w:val="24"/>
        </w:rPr>
        <w:t>Vario</w:t>
      </w:r>
      <w:proofErr w:type="spellEnd"/>
      <w:r>
        <w:rPr>
          <w:rFonts w:hint="eastAsia"/>
          <w:sz w:val="24"/>
        </w:rPr>
        <w:t xml:space="preserve"> </w:t>
      </w:r>
      <w:r w:rsidR="0026555F">
        <w:rPr>
          <w:rFonts w:hint="eastAsia"/>
          <w:sz w:val="24"/>
        </w:rPr>
        <w:t>TOC</w:t>
      </w:r>
      <w:r w:rsidR="00524049" w:rsidRPr="00524049">
        <w:rPr>
          <w:rFonts w:hint="eastAsia"/>
          <w:sz w:val="24"/>
        </w:rPr>
        <w:t>标准溶液的配置：</w:t>
      </w:r>
      <w:r w:rsidR="00E11691">
        <w:rPr>
          <w:rFonts w:hint="eastAsia"/>
          <w:sz w:val="24"/>
        </w:rPr>
        <w:t>TIC/</w:t>
      </w:r>
      <w:r w:rsidR="00DC65C2">
        <w:rPr>
          <w:rFonts w:hint="eastAsia"/>
          <w:sz w:val="24"/>
        </w:rPr>
        <w:t>TOC</w:t>
      </w:r>
      <w:r w:rsidR="00E11691">
        <w:rPr>
          <w:rFonts w:hint="eastAsia"/>
          <w:sz w:val="24"/>
        </w:rPr>
        <w:t>/TNb</w:t>
      </w:r>
    </w:p>
    <w:p w:rsidR="00524049" w:rsidRPr="00524049" w:rsidRDefault="00524049" w:rsidP="00524049">
      <w:pPr>
        <w:ind w:left="2940" w:firstLine="420"/>
      </w:pPr>
      <w:r>
        <w:rPr>
          <w:rFonts w:hint="eastAsia"/>
        </w:rPr>
        <w:t>邻苯二甲酸氢钾</w:t>
      </w:r>
      <w:r>
        <w:rPr>
          <w:rFonts w:hint="eastAsia"/>
        </w:rPr>
        <w:t>(KHP)</w:t>
      </w:r>
      <w:r>
        <w:rPr>
          <w:rFonts w:hint="eastAsia"/>
        </w:rPr>
        <w:t>分子式：</w:t>
      </w:r>
      <w:r>
        <w:rPr>
          <w:rFonts w:hint="eastAsia"/>
        </w:rPr>
        <w:t>C</w:t>
      </w:r>
      <w:r>
        <w:rPr>
          <w:rFonts w:hint="eastAsia"/>
          <w:vertAlign w:val="subscript"/>
        </w:rPr>
        <w:t>8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5</w:t>
      </w:r>
      <w:r>
        <w:rPr>
          <w:rFonts w:hint="eastAsia"/>
        </w:rPr>
        <w:t>O</w:t>
      </w:r>
      <w:r>
        <w:rPr>
          <w:rFonts w:hint="eastAsia"/>
          <w:vertAlign w:val="subscript"/>
        </w:rPr>
        <w:t>4</w:t>
      </w:r>
      <w:r>
        <w:rPr>
          <w:rFonts w:hint="eastAsia"/>
        </w:rPr>
        <w:t>K</w:t>
      </w:r>
      <w:r>
        <w:rPr>
          <w:rFonts w:hint="eastAsia"/>
        </w:rPr>
        <w:t>；分子量：</w:t>
      </w:r>
      <w:r>
        <w:rPr>
          <w:rFonts w:hint="eastAsia"/>
        </w:rPr>
        <w:t>204.18</w:t>
      </w:r>
    </w:p>
    <w:p w:rsidR="00524049" w:rsidRPr="00524049" w:rsidRDefault="006A6523">
      <w:r>
        <w:rPr>
          <w:rFonts w:hint="eastAsia"/>
        </w:rPr>
        <w:t xml:space="preserve">  </w:t>
      </w:r>
      <w:r>
        <w:rPr>
          <w:rFonts w:hint="eastAsia"/>
        </w:rPr>
        <w:t>干燥：在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8"/>
          <w:attr w:name="UnitName" w:val="℃"/>
        </w:smartTagPr>
        <w:r>
          <w:rPr>
            <w:rFonts w:hint="eastAsia"/>
          </w:rPr>
          <w:t>118</w:t>
        </w:r>
        <w:r>
          <w:rPr>
            <w:rFonts w:ascii="宋体" w:hAnsi="宋体" w:hint="eastAsia"/>
          </w:rPr>
          <w:t>℃</w:t>
        </w:r>
      </w:smartTag>
      <w:r>
        <w:rPr>
          <w:rFonts w:ascii="宋体" w:hAnsi="宋体" w:hint="eastAsia"/>
        </w:rPr>
        <w:t>下烘干2小时</w:t>
      </w:r>
    </w:p>
    <w:p w:rsidR="00195A13" w:rsidRDefault="002907E7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.45pt;width:147.5pt;height:160.7pt;z-index:251657728;mso-position-horizontal:left">
            <v:imagedata r:id="rId5" o:title=""/>
            <w10:wrap type="square" side="right"/>
          </v:shape>
          <o:OLEObject Type="Embed" ProgID="ChemDraw.Document.5.0" ShapeID="_x0000_s1026" DrawAspect="Content" ObjectID="_1432025277" r:id="rId6"/>
        </w:pict>
      </w:r>
    </w:p>
    <w:p w:rsidR="00195A13" w:rsidRPr="00195A13" w:rsidRDefault="00195A13" w:rsidP="00195A13"/>
    <w:p w:rsidR="00195A13" w:rsidRPr="00195A13" w:rsidRDefault="00195A13" w:rsidP="00195A13"/>
    <w:p w:rsidR="00195A13" w:rsidRDefault="00195A13"/>
    <w:p w:rsidR="00195A13" w:rsidRDefault="00195A13"/>
    <w:p w:rsidR="00CA508B" w:rsidRPr="00A40551" w:rsidRDefault="00195A13">
      <w:pPr>
        <w:rPr>
          <w:sz w:val="18"/>
          <w:szCs w:val="18"/>
        </w:rPr>
      </w:pPr>
      <w:r>
        <w:br w:type="textWrapping" w:clear="all"/>
      </w:r>
    </w:p>
    <w:p w:rsidR="00CA508B" w:rsidRDefault="00CA508B" w:rsidP="00CA508B">
      <w:pPr>
        <w:ind w:firstLineChars="200" w:firstLine="420"/>
      </w:pPr>
      <w:r>
        <w:rPr>
          <w:rFonts w:hint="eastAsia"/>
        </w:rPr>
        <w:t>邻苯二甲酸氢钾</w:t>
      </w:r>
      <w:r w:rsidR="00524049">
        <w:rPr>
          <w:rFonts w:hint="eastAsia"/>
        </w:rPr>
        <w:t>(KHP)</w:t>
      </w:r>
      <w:r w:rsidR="00524049">
        <w:rPr>
          <w:rFonts w:hint="eastAsia"/>
        </w:rPr>
        <w:t>结构式</w:t>
      </w:r>
    </w:p>
    <w:p w:rsidR="00A40551" w:rsidRDefault="00A40551" w:rsidP="00CA508B">
      <w:pPr>
        <w:ind w:firstLineChars="200" w:firstLine="420"/>
      </w:pPr>
    </w:p>
    <w:p w:rsidR="00A40551" w:rsidRPr="00A40551" w:rsidRDefault="00A40551" w:rsidP="00A40551">
      <w:r>
        <w:rPr>
          <w:rFonts w:hint="eastAsia"/>
        </w:rPr>
        <w:t xml:space="preserve">1. </w:t>
      </w:r>
      <w:r>
        <w:rPr>
          <w:rFonts w:hint="eastAsia"/>
        </w:rPr>
        <w:t>高浓度的母液</w:t>
      </w:r>
      <w:r w:rsidRPr="00A40551">
        <w:rPr>
          <w:rFonts w:hint="eastAsia"/>
        </w:rPr>
        <w:t>（</w:t>
      </w:r>
      <w:r w:rsidRPr="00A40551">
        <w:rPr>
          <w:rFonts w:hint="eastAsia"/>
        </w:rPr>
        <w:t>500mg/lTIC+500mg/lTOC</w:t>
      </w:r>
      <w:r w:rsidR="00D321E9">
        <w:rPr>
          <w:rFonts w:hint="eastAsia"/>
        </w:rPr>
        <w:t xml:space="preserve">+500mg/L </w:t>
      </w:r>
      <w:proofErr w:type="spellStart"/>
      <w:r w:rsidR="00D321E9">
        <w:rPr>
          <w:rFonts w:hint="eastAsia"/>
        </w:rPr>
        <w:t>TNb</w:t>
      </w:r>
      <w:proofErr w:type="spellEnd"/>
      <w:r w:rsidRPr="00A40551">
        <w:rPr>
          <w:rFonts w:hint="eastAsia"/>
        </w:rPr>
        <w:t>）</w:t>
      </w:r>
      <w:r w:rsidRPr="00A40551">
        <w:rPr>
          <w:rFonts w:hint="eastAsia"/>
        </w:rPr>
        <w:t xml:space="preserve">, </w:t>
      </w:r>
    </w:p>
    <w:p w:rsidR="00A40551" w:rsidRPr="00A40551" w:rsidRDefault="00A40551" w:rsidP="00A40551">
      <w:pPr>
        <w:ind w:firstLineChars="100" w:firstLine="210"/>
      </w:pPr>
      <w:r>
        <w:rPr>
          <w:rFonts w:hint="eastAsia"/>
        </w:rPr>
        <w:t>容量瓶</w:t>
      </w:r>
      <w:r w:rsidR="00B77FBF">
        <w:rPr>
          <w:rFonts w:hint="eastAsia"/>
        </w:rPr>
        <w:t>10</w:t>
      </w:r>
      <w:r w:rsidRPr="00A40551">
        <w:rPr>
          <w:rFonts w:hint="eastAsia"/>
        </w:rPr>
        <w:t>0ml</w:t>
      </w:r>
      <w:r w:rsidRPr="00A40551">
        <w:rPr>
          <w:rFonts w:hint="eastAsia"/>
        </w:rPr>
        <w:t>（</w:t>
      </w:r>
      <w:r>
        <w:rPr>
          <w:rFonts w:hint="eastAsia"/>
        </w:rPr>
        <w:t>玻璃瓶</w:t>
      </w:r>
      <w:r w:rsidRPr="00A40551">
        <w:rPr>
          <w:rFonts w:hint="eastAsia"/>
        </w:rPr>
        <w:t>）</w:t>
      </w:r>
      <w:r w:rsidRPr="00A40551">
        <w:rPr>
          <w:rFonts w:hint="eastAsia"/>
        </w:rPr>
        <w:t>:</w:t>
      </w:r>
    </w:p>
    <w:p w:rsidR="003700AD" w:rsidRDefault="00A40551" w:rsidP="00A40551">
      <w:pPr>
        <w:ind w:firstLineChars="100" w:firstLine="210"/>
      </w:pPr>
      <w:r>
        <w:rPr>
          <w:rFonts w:hint="eastAsia"/>
        </w:rPr>
        <w:t>准确称量</w:t>
      </w:r>
    </w:p>
    <w:p w:rsidR="003700AD" w:rsidRDefault="00A40551" w:rsidP="00A40551">
      <w:pPr>
        <w:ind w:firstLineChars="100" w:firstLine="210"/>
      </w:pPr>
      <w:r w:rsidRPr="00A40551">
        <w:t>441</w:t>
      </w:r>
      <w:r w:rsidR="00B77FBF">
        <w:rPr>
          <w:rFonts w:hint="eastAsia"/>
        </w:rPr>
        <w:t>.</w:t>
      </w:r>
      <w:r w:rsidR="00B77FBF">
        <w:t>2</w:t>
      </w:r>
      <w:r w:rsidRPr="00A40551">
        <w:t xml:space="preserve">1 mg </w:t>
      </w:r>
      <w:r w:rsidRPr="00A40551">
        <w:rPr>
          <w:rFonts w:hint="eastAsia"/>
        </w:rPr>
        <w:t>Na</w:t>
      </w:r>
      <w:r w:rsidRPr="00A40551">
        <w:rPr>
          <w:rFonts w:hint="eastAsia"/>
          <w:vertAlign w:val="subscript"/>
        </w:rPr>
        <w:t>2</w:t>
      </w:r>
      <w:r w:rsidRPr="00A40551">
        <w:rPr>
          <w:rFonts w:hint="eastAsia"/>
        </w:rPr>
        <w:t>CO</w:t>
      </w:r>
      <w:r w:rsidRPr="00A40551">
        <w:rPr>
          <w:rFonts w:hint="eastAsia"/>
          <w:vertAlign w:val="subscript"/>
        </w:rPr>
        <w:t>3</w:t>
      </w:r>
      <w:r w:rsidRPr="00A40551">
        <w:rPr>
          <w:rFonts w:hint="eastAsia"/>
        </w:rPr>
        <w:t xml:space="preserve"> </w:t>
      </w:r>
      <w:r>
        <w:rPr>
          <w:rFonts w:hint="eastAsia"/>
        </w:rPr>
        <w:t>和</w:t>
      </w:r>
      <w:r w:rsidRPr="00A40551">
        <w:rPr>
          <w:rFonts w:hint="eastAsia"/>
        </w:rPr>
        <w:t xml:space="preserve"> </w:t>
      </w:r>
    </w:p>
    <w:p w:rsidR="003700AD" w:rsidRDefault="00A40551" w:rsidP="00A40551">
      <w:pPr>
        <w:ind w:firstLineChars="100" w:firstLine="210"/>
        <w:rPr>
          <w:rFonts w:hint="eastAsia"/>
        </w:rPr>
      </w:pPr>
      <w:r w:rsidRPr="00A40551">
        <w:t>106</w:t>
      </w:r>
      <w:r w:rsidR="00B77FBF">
        <w:rPr>
          <w:rFonts w:hint="eastAsia"/>
        </w:rPr>
        <w:t>.</w:t>
      </w:r>
      <w:r w:rsidR="00B77FBF">
        <w:t>2</w:t>
      </w:r>
      <w:r w:rsidRPr="00A40551">
        <w:t>7 mg KHP</w:t>
      </w:r>
      <w:r w:rsidRPr="00A40551">
        <w:rPr>
          <w:rFonts w:hint="eastAsia"/>
        </w:rPr>
        <w:t>(</w:t>
      </w:r>
      <w:r>
        <w:rPr>
          <w:rFonts w:hint="eastAsia"/>
        </w:rPr>
        <w:t>邻苯二甲酸氢钾</w:t>
      </w:r>
      <w:r w:rsidRPr="00A40551">
        <w:rPr>
          <w:rFonts w:hint="eastAsia"/>
        </w:rPr>
        <w:t>) ,</w:t>
      </w:r>
    </w:p>
    <w:p w:rsidR="00D321E9" w:rsidRDefault="00D321E9" w:rsidP="00D321E9">
      <w:pPr>
        <w:autoSpaceDE w:val="0"/>
        <w:autoSpaceDN w:val="0"/>
        <w:adjustRightInd w:val="0"/>
        <w:jc w:val="left"/>
        <w:rPr>
          <w:rFonts w:ascii="ArialMT" w:hAnsi="ArialMT" w:cs="ArialMT"/>
          <w:kern w:val="0"/>
          <w:sz w:val="13"/>
          <w:szCs w:val="13"/>
        </w:rPr>
      </w:pPr>
      <w:r>
        <w:rPr>
          <w:rFonts w:ascii="ArialMT" w:hAnsi="ArialMT" w:cs="ArialMT" w:hint="eastAsia"/>
          <w:kern w:val="0"/>
          <w:sz w:val="20"/>
          <w:szCs w:val="20"/>
        </w:rPr>
        <w:t xml:space="preserve">  </w:t>
      </w:r>
      <w:r>
        <w:rPr>
          <w:rFonts w:ascii="ArialMT" w:hAnsi="ArialMT" w:cs="ArialMT"/>
          <w:kern w:val="0"/>
          <w:sz w:val="20"/>
          <w:szCs w:val="20"/>
        </w:rPr>
        <w:t>151</w:t>
      </w:r>
      <w:r>
        <w:rPr>
          <w:rFonts w:ascii="ArialMT" w:hAnsi="ArialMT" w:cs="ArialMT" w:hint="eastAsia"/>
          <w:kern w:val="0"/>
          <w:sz w:val="20"/>
          <w:szCs w:val="20"/>
        </w:rPr>
        <w:t>.</w:t>
      </w:r>
      <w:r>
        <w:rPr>
          <w:rFonts w:ascii="ArialMT" w:hAnsi="ArialMT" w:cs="ArialMT"/>
          <w:kern w:val="0"/>
          <w:sz w:val="20"/>
          <w:szCs w:val="20"/>
        </w:rPr>
        <w:t xml:space="preserve">79 </w:t>
      </w:r>
      <w:proofErr w:type="gramStart"/>
      <w:r>
        <w:rPr>
          <w:rFonts w:ascii="ArialMT" w:hAnsi="ArialMT" w:cs="ArialMT"/>
          <w:kern w:val="0"/>
          <w:sz w:val="20"/>
          <w:szCs w:val="20"/>
        </w:rPr>
        <w:t xml:space="preserve">mg </w:t>
      </w:r>
      <w:r>
        <w:rPr>
          <w:rFonts w:ascii="ArialMT" w:hAnsi="ArialMT" w:cs="ArialMT" w:hint="eastAsia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NaNO</w:t>
      </w:r>
      <w:r>
        <w:rPr>
          <w:rFonts w:ascii="ArialMT" w:hAnsi="ArialMT" w:cs="ArialMT"/>
          <w:kern w:val="0"/>
          <w:sz w:val="13"/>
          <w:szCs w:val="13"/>
        </w:rPr>
        <w:t>3</w:t>
      </w:r>
      <w:proofErr w:type="gramEnd"/>
    </w:p>
    <w:p w:rsidR="00D321E9" w:rsidRDefault="00D321E9" w:rsidP="00D321E9">
      <w:pPr>
        <w:ind w:firstLineChars="100" w:firstLine="200"/>
      </w:pPr>
      <w:r>
        <w:rPr>
          <w:rFonts w:ascii="ArialMT" w:hAnsi="ArialMT" w:cs="ArialMT"/>
          <w:kern w:val="0"/>
          <w:sz w:val="20"/>
          <w:szCs w:val="20"/>
        </w:rPr>
        <w:t>95</w:t>
      </w:r>
      <w:r>
        <w:rPr>
          <w:rFonts w:ascii="ArialMT" w:hAnsi="ArialMT" w:cs="ArialMT" w:hint="eastAsia"/>
          <w:kern w:val="0"/>
          <w:sz w:val="20"/>
          <w:szCs w:val="20"/>
        </w:rPr>
        <w:t>.</w:t>
      </w:r>
      <w:r>
        <w:rPr>
          <w:rFonts w:ascii="ArialMT" w:hAnsi="ArialMT" w:cs="ArialMT"/>
          <w:kern w:val="0"/>
          <w:sz w:val="20"/>
          <w:szCs w:val="20"/>
        </w:rPr>
        <w:t xml:space="preserve">54 </w:t>
      </w:r>
      <w:proofErr w:type="gramStart"/>
      <w:r>
        <w:rPr>
          <w:rFonts w:ascii="ArialMT" w:hAnsi="ArialMT" w:cs="ArialMT"/>
          <w:kern w:val="0"/>
          <w:sz w:val="20"/>
          <w:szCs w:val="20"/>
        </w:rPr>
        <w:t xml:space="preserve">mg </w:t>
      </w:r>
      <w:r>
        <w:rPr>
          <w:rFonts w:ascii="ArialMT" w:hAnsi="ArialMT" w:cs="ArialMT" w:hint="eastAsia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NH</w:t>
      </w:r>
      <w:r>
        <w:rPr>
          <w:rFonts w:ascii="ArialMT" w:hAnsi="ArialMT" w:cs="ArialMT"/>
          <w:kern w:val="0"/>
          <w:sz w:val="13"/>
          <w:szCs w:val="13"/>
        </w:rPr>
        <w:t>4</w:t>
      </w:r>
      <w:r>
        <w:rPr>
          <w:rFonts w:ascii="ArialMT" w:hAnsi="ArialMT" w:cs="ArialMT"/>
          <w:kern w:val="0"/>
          <w:sz w:val="20"/>
          <w:szCs w:val="20"/>
        </w:rPr>
        <w:t>Cl</w:t>
      </w:r>
      <w:proofErr w:type="gramEnd"/>
    </w:p>
    <w:p w:rsidR="00A40551" w:rsidRDefault="00A40551" w:rsidP="00A40551">
      <w:pPr>
        <w:ind w:firstLineChars="100" w:firstLine="210"/>
      </w:pPr>
      <w:r>
        <w:rPr>
          <w:rFonts w:hint="eastAsia"/>
        </w:rPr>
        <w:t>用去离子水溶解并稀释至</w:t>
      </w:r>
      <w:r w:rsidR="00B77FBF">
        <w:rPr>
          <w:rFonts w:hint="eastAsia"/>
        </w:rPr>
        <w:t>10</w:t>
      </w:r>
      <w:r w:rsidRPr="00A40551">
        <w:rPr>
          <w:rFonts w:hint="eastAsia"/>
        </w:rPr>
        <w:t>0ml</w:t>
      </w:r>
    </w:p>
    <w:p w:rsidR="00A40551" w:rsidRDefault="00A40551" w:rsidP="00A40551"/>
    <w:p w:rsidR="00456047" w:rsidRDefault="00456047" w:rsidP="00184678">
      <w:pPr>
        <w:ind w:firstLineChars="100" w:firstLine="210"/>
      </w:pPr>
    </w:p>
    <w:p w:rsidR="00275179" w:rsidRPr="00275179" w:rsidRDefault="00B77FBF" w:rsidP="00456047">
      <w:r>
        <w:rPr>
          <w:rFonts w:hint="eastAsia"/>
        </w:rPr>
        <w:t xml:space="preserve">2. 10mg/L </w:t>
      </w:r>
      <w:r>
        <w:rPr>
          <w:rFonts w:hint="eastAsia"/>
        </w:rPr>
        <w:t>（</w:t>
      </w:r>
      <w:r>
        <w:rPr>
          <w:rFonts w:hint="eastAsia"/>
        </w:rPr>
        <w:t>TIC</w:t>
      </w:r>
      <w:r>
        <w:rPr>
          <w:rFonts w:hint="eastAsia"/>
        </w:rPr>
        <w:t>）</w:t>
      </w:r>
      <w:r>
        <w:rPr>
          <w:rFonts w:hint="eastAsia"/>
        </w:rPr>
        <w:t>+10mg/L TOC</w:t>
      </w:r>
      <w:r w:rsidR="00D321E9">
        <w:rPr>
          <w:rFonts w:hint="eastAsia"/>
        </w:rPr>
        <w:t xml:space="preserve">+10mg/L </w:t>
      </w:r>
      <w:proofErr w:type="spellStart"/>
      <w:r w:rsidR="00D321E9">
        <w:rPr>
          <w:rFonts w:hint="eastAsia"/>
        </w:rPr>
        <w:t>TNb</w:t>
      </w:r>
      <w:proofErr w:type="spellEnd"/>
    </w:p>
    <w:p w:rsidR="00456047" w:rsidRPr="00456047" w:rsidRDefault="00B77FBF" w:rsidP="00456A0D">
      <w:pPr>
        <w:rPr>
          <w:szCs w:val="21"/>
        </w:rPr>
      </w:pPr>
      <w:r>
        <w:rPr>
          <w:rFonts w:hint="eastAsia"/>
          <w:szCs w:val="21"/>
        </w:rPr>
        <w:t>取</w:t>
      </w:r>
      <w:r>
        <w:rPr>
          <w:rFonts w:hint="eastAsia"/>
          <w:szCs w:val="21"/>
        </w:rPr>
        <w:t>2ml</w:t>
      </w:r>
      <w:r w:rsidR="00BE42D6">
        <w:rPr>
          <w:rFonts w:hint="eastAsia"/>
          <w:szCs w:val="21"/>
        </w:rPr>
        <w:t>高浓度</w:t>
      </w:r>
      <w:r>
        <w:rPr>
          <w:rFonts w:hint="eastAsia"/>
          <w:szCs w:val="21"/>
        </w:rPr>
        <w:t>母液</w:t>
      </w:r>
      <w:r w:rsidRPr="00A40551">
        <w:rPr>
          <w:rFonts w:hint="eastAsia"/>
        </w:rPr>
        <w:t>（</w:t>
      </w:r>
      <w:r w:rsidRPr="00A40551">
        <w:rPr>
          <w:rFonts w:hint="eastAsia"/>
        </w:rPr>
        <w:t>500mg/lTIC+500mg/lTOC</w:t>
      </w:r>
      <w:r w:rsidR="00BE42D6">
        <w:rPr>
          <w:rFonts w:hint="eastAsia"/>
        </w:rPr>
        <w:t xml:space="preserve">+500mg/L </w:t>
      </w:r>
      <w:proofErr w:type="spellStart"/>
      <w:r w:rsidR="00BE42D6">
        <w:rPr>
          <w:rFonts w:hint="eastAsia"/>
        </w:rPr>
        <w:t>TNb</w:t>
      </w:r>
      <w:proofErr w:type="spellEnd"/>
      <w:r w:rsidRPr="00A40551">
        <w:rPr>
          <w:rFonts w:hint="eastAsia"/>
        </w:rPr>
        <w:t>）</w:t>
      </w:r>
      <w:r>
        <w:rPr>
          <w:rFonts w:hint="eastAsia"/>
        </w:rPr>
        <w:t>，定容到</w:t>
      </w:r>
      <w:r>
        <w:rPr>
          <w:rFonts w:hint="eastAsia"/>
        </w:rPr>
        <w:t>100ml</w:t>
      </w:r>
      <w:r>
        <w:rPr>
          <w:rFonts w:hint="eastAsia"/>
        </w:rPr>
        <w:t>容量瓶。</w:t>
      </w:r>
    </w:p>
    <w:p w:rsidR="00A40551" w:rsidRDefault="00A40551" w:rsidP="00A40551">
      <w:pPr>
        <w:pStyle w:val="NormalIndent"/>
        <w:ind w:left="0"/>
      </w:pPr>
    </w:p>
    <w:p w:rsidR="00275179" w:rsidRPr="006F79E7" w:rsidRDefault="00275179" w:rsidP="00CA508B">
      <w:pPr>
        <w:ind w:firstLineChars="200" w:firstLine="420"/>
      </w:pPr>
    </w:p>
    <w:sectPr w:rsidR="00275179" w:rsidRPr="006F79E7" w:rsidSect="00A16AA1">
      <w:pgSz w:w="11907" w:h="16840"/>
      <w:pgMar w:top="958" w:right="851" w:bottom="851" w:left="851" w:header="720" w:footer="539" w:gutter="0"/>
      <w:cols w:space="425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7292BF46"/>
    <w:lvl w:ilvl="0">
      <w:start w:val="4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 w:grammar="clean"/>
  <w:stylePaneFormatFilter w:val="3F01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508B"/>
    <w:rsid w:val="00044F4C"/>
    <w:rsid w:val="00057F3E"/>
    <w:rsid w:val="00077D57"/>
    <w:rsid w:val="000F286E"/>
    <w:rsid w:val="00133977"/>
    <w:rsid w:val="00184678"/>
    <w:rsid w:val="00195A13"/>
    <w:rsid w:val="001E2240"/>
    <w:rsid w:val="0026555F"/>
    <w:rsid w:val="00275179"/>
    <w:rsid w:val="002907E7"/>
    <w:rsid w:val="003700AD"/>
    <w:rsid w:val="00424DFA"/>
    <w:rsid w:val="00456047"/>
    <w:rsid w:val="00456A0D"/>
    <w:rsid w:val="004F5884"/>
    <w:rsid w:val="00524049"/>
    <w:rsid w:val="00651FB8"/>
    <w:rsid w:val="006A6523"/>
    <w:rsid w:val="006F79E7"/>
    <w:rsid w:val="00A16AA1"/>
    <w:rsid w:val="00A40551"/>
    <w:rsid w:val="00B7776C"/>
    <w:rsid w:val="00B77FBF"/>
    <w:rsid w:val="00BE42D6"/>
    <w:rsid w:val="00BF3B61"/>
    <w:rsid w:val="00C25FFA"/>
    <w:rsid w:val="00CA508B"/>
    <w:rsid w:val="00CD7156"/>
    <w:rsid w:val="00D321E9"/>
    <w:rsid w:val="00D93FF6"/>
    <w:rsid w:val="00DC155F"/>
    <w:rsid w:val="00DC65C2"/>
    <w:rsid w:val="00DF626C"/>
    <w:rsid w:val="00E11691"/>
    <w:rsid w:val="00E40FD3"/>
    <w:rsid w:val="00F32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07E7"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A40551"/>
    <w:pPr>
      <w:keepNext/>
      <w:widowControl/>
      <w:numPr>
        <w:numId w:val="1"/>
      </w:numPr>
      <w:spacing w:before="360" w:after="240"/>
      <w:jc w:val="left"/>
      <w:outlineLvl w:val="0"/>
    </w:pPr>
    <w:rPr>
      <w:b/>
      <w:kern w:val="28"/>
      <w:sz w:val="40"/>
      <w:szCs w:val="20"/>
      <w:lang w:val="de-DE"/>
    </w:rPr>
  </w:style>
  <w:style w:type="paragraph" w:styleId="Heading2">
    <w:name w:val="heading 2"/>
    <w:basedOn w:val="Heading1"/>
    <w:next w:val="Normal"/>
    <w:qFormat/>
    <w:rsid w:val="00A40551"/>
    <w:pPr>
      <w:numPr>
        <w:ilvl w:val="1"/>
      </w:numPr>
      <w:spacing w:before="240"/>
      <w:outlineLvl w:val="1"/>
    </w:pPr>
    <w:rPr>
      <w:sz w:val="32"/>
    </w:rPr>
  </w:style>
  <w:style w:type="paragraph" w:styleId="Heading3">
    <w:name w:val="heading 3"/>
    <w:basedOn w:val="Heading1"/>
    <w:next w:val="NormalIndent"/>
    <w:qFormat/>
    <w:rsid w:val="00A40551"/>
    <w:pPr>
      <w:numPr>
        <w:ilvl w:val="2"/>
      </w:numPr>
      <w:spacing w:before="240"/>
      <w:outlineLvl w:val="2"/>
    </w:pPr>
    <w:rPr>
      <w:sz w:val="28"/>
    </w:rPr>
  </w:style>
  <w:style w:type="paragraph" w:styleId="Heading4">
    <w:name w:val="heading 4"/>
    <w:basedOn w:val="Heading1"/>
    <w:next w:val="Normal"/>
    <w:qFormat/>
    <w:rsid w:val="00A40551"/>
    <w:pPr>
      <w:numPr>
        <w:ilvl w:val="3"/>
      </w:numPr>
      <w:spacing w:before="240" w:after="1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A40551"/>
    <w:pPr>
      <w:widowControl/>
      <w:numPr>
        <w:ilvl w:val="4"/>
        <w:numId w:val="1"/>
      </w:numPr>
      <w:spacing w:before="240" w:after="60"/>
      <w:jc w:val="left"/>
      <w:outlineLvl w:val="4"/>
    </w:pPr>
    <w:rPr>
      <w:rFonts w:ascii="Arial" w:hAnsi="Arial"/>
      <w:kern w:val="0"/>
      <w:sz w:val="22"/>
      <w:szCs w:val="20"/>
      <w:lang w:val="de-DE"/>
    </w:rPr>
  </w:style>
  <w:style w:type="paragraph" w:styleId="Heading6">
    <w:name w:val="heading 6"/>
    <w:basedOn w:val="Normal"/>
    <w:next w:val="Normal"/>
    <w:qFormat/>
    <w:rsid w:val="00A40551"/>
    <w:pPr>
      <w:widowControl/>
      <w:numPr>
        <w:ilvl w:val="5"/>
        <w:numId w:val="1"/>
      </w:numPr>
      <w:spacing w:before="240" w:after="60"/>
      <w:jc w:val="left"/>
      <w:outlineLvl w:val="5"/>
    </w:pPr>
    <w:rPr>
      <w:rFonts w:ascii="Arial" w:hAnsi="Arial"/>
      <w:i/>
      <w:kern w:val="0"/>
      <w:sz w:val="22"/>
      <w:szCs w:val="20"/>
      <w:lang w:val="de-DE"/>
    </w:rPr>
  </w:style>
  <w:style w:type="paragraph" w:styleId="Heading7">
    <w:name w:val="heading 7"/>
    <w:basedOn w:val="Normal"/>
    <w:next w:val="Normal"/>
    <w:qFormat/>
    <w:rsid w:val="00A40551"/>
    <w:pPr>
      <w:widowControl/>
      <w:numPr>
        <w:ilvl w:val="6"/>
        <w:numId w:val="1"/>
      </w:numPr>
      <w:spacing w:before="240" w:after="60"/>
      <w:jc w:val="left"/>
      <w:outlineLvl w:val="6"/>
    </w:pPr>
    <w:rPr>
      <w:rFonts w:ascii="Arial" w:hAnsi="Arial"/>
      <w:kern w:val="0"/>
      <w:sz w:val="20"/>
      <w:szCs w:val="20"/>
      <w:lang w:val="de-DE"/>
    </w:rPr>
  </w:style>
  <w:style w:type="paragraph" w:styleId="Heading8">
    <w:name w:val="heading 8"/>
    <w:basedOn w:val="Normal"/>
    <w:next w:val="Normal"/>
    <w:qFormat/>
    <w:rsid w:val="00A40551"/>
    <w:pPr>
      <w:widowControl/>
      <w:numPr>
        <w:ilvl w:val="7"/>
        <w:numId w:val="1"/>
      </w:numPr>
      <w:spacing w:before="240" w:after="60"/>
      <w:jc w:val="left"/>
      <w:outlineLvl w:val="7"/>
    </w:pPr>
    <w:rPr>
      <w:rFonts w:ascii="Arial" w:hAnsi="Arial"/>
      <w:i/>
      <w:kern w:val="0"/>
      <w:sz w:val="20"/>
      <w:szCs w:val="20"/>
      <w:lang w:val="de-DE"/>
    </w:rPr>
  </w:style>
  <w:style w:type="paragraph" w:styleId="Heading9">
    <w:name w:val="heading 9"/>
    <w:basedOn w:val="Heading1"/>
    <w:next w:val="Normal"/>
    <w:qFormat/>
    <w:rsid w:val="00A40551"/>
    <w:pPr>
      <w:numPr>
        <w:ilvl w:val="8"/>
      </w:numPr>
      <w:spacing w:before="240"/>
      <w:outlineLvl w:val="8"/>
    </w:pPr>
    <w:rPr>
      <w:i/>
      <w:vanish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456A0D"/>
    <w:pPr>
      <w:widowControl/>
      <w:ind w:left="708"/>
      <w:jc w:val="left"/>
    </w:pPr>
    <w:rPr>
      <w:kern w:val="0"/>
      <w:sz w:val="24"/>
      <w:szCs w:val="20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9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cqye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cqye</dc:creator>
  <cp:lastModifiedBy>frederickzhu</cp:lastModifiedBy>
  <cp:revision>3</cp:revision>
  <dcterms:created xsi:type="dcterms:W3CDTF">2013-03-17T06:42:00Z</dcterms:created>
  <dcterms:modified xsi:type="dcterms:W3CDTF">2013-06-06T04:02:00Z</dcterms:modified>
</cp:coreProperties>
</file>